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94" w:rsidRPr="00D51094" w:rsidRDefault="00D51094" w:rsidP="00D51094">
      <w:pPr>
        <w:jc w:val="right"/>
        <w:rPr>
          <w:sz w:val="20"/>
          <w:szCs w:val="28"/>
        </w:rPr>
      </w:pPr>
      <w:r w:rsidRPr="00D51094">
        <w:rPr>
          <w:sz w:val="20"/>
          <w:szCs w:val="28"/>
        </w:rPr>
        <w:t>załącznik nr 3 do SIWZ</w:t>
      </w:r>
    </w:p>
    <w:p w:rsidR="005F2B61" w:rsidRDefault="00971762">
      <w:pPr>
        <w:pStyle w:val="Akapitzlist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Założenie do projektu.</w:t>
      </w:r>
    </w:p>
    <w:p w:rsidR="005F2B61" w:rsidRDefault="005F2B61">
      <w:pPr>
        <w:jc w:val="both"/>
      </w:pPr>
    </w:p>
    <w:p w:rsidR="005F2B61" w:rsidRDefault="00971762">
      <w:pPr>
        <w:pStyle w:val="Akapitzlist"/>
        <w:numPr>
          <w:ilvl w:val="0"/>
          <w:numId w:val="2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zmodernizowanie systemu CCTV, dzięki któremu uzyskamy bardziej wyraźny i szczegółowy obraz na terenie obserwowanego obiektu,</w:t>
      </w:r>
    </w:p>
    <w:p w:rsidR="005F2B61" w:rsidRDefault="005F2B61">
      <w:pPr>
        <w:ind w:left="1134"/>
        <w:jc w:val="both"/>
        <w:rPr>
          <w:sz w:val="24"/>
          <w:szCs w:val="24"/>
        </w:rPr>
      </w:pPr>
    </w:p>
    <w:p w:rsidR="005F2B61" w:rsidRDefault="00971762">
      <w:pPr>
        <w:pStyle w:val="Akapitzlist"/>
        <w:numPr>
          <w:ilvl w:val="0"/>
          <w:numId w:val="2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modernizacja ta,</w:t>
      </w:r>
      <w:r w:rsidR="00D93B62">
        <w:rPr>
          <w:sz w:val="24"/>
          <w:szCs w:val="24"/>
        </w:rPr>
        <w:t xml:space="preserve"> </w:t>
      </w:r>
      <w:r>
        <w:rPr>
          <w:sz w:val="24"/>
          <w:szCs w:val="24"/>
        </w:rPr>
        <w:t>ma umożliwić nam zwiększenie obserwowanego obszaru na terenie obserwowanego obiektu,</w:t>
      </w:r>
    </w:p>
    <w:p w:rsidR="005F2B61" w:rsidRDefault="005F2B61">
      <w:pPr>
        <w:pStyle w:val="Akapitzlist"/>
        <w:jc w:val="both"/>
        <w:rPr>
          <w:sz w:val="24"/>
          <w:szCs w:val="24"/>
        </w:rPr>
      </w:pPr>
    </w:p>
    <w:p w:rsidR="005F2B61" w:rsidRDefault="00971762">
      <w:pPr>
        <w:pStyle w:val="Akapitzlist"/>
        <w:numPr>
          <w:ilvl w:val="0"/>
          <w:numId w:val="2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wspomóc pracę personelu  i ich bezpieczeństwo</w:t>
      </w:r>
    </w:p>
    <w:p w:rsidR="005F2B61" w:rsidRDefault="005F2B61">
      <w:pPr>
        <w:jc w:val="both"/>
      </w:pPr>
    </w:p>
    <w:p w:rsidR="005F2B61" w:rsidRDefault="005F2B61">
      <w:pPr>
        <w:jc w:val="both"/>
        <w:rPr>
          <w:sz w:val="28"/>
          <w:szCs w:val="28"/>
        </w:rPr>
      </w:pPr>
    </w:p>
    <w:p w:rsidR="005F2B61" w:rsidRDefault="00971762">
      <w:pPr>
        <w:pStyle w:val="Akapitzlist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Podstawowy opis modernizacji obecnego systemu.</w:t>
      </w:r>
    </w:p>
    <w:p w:rsidR="005F2B61" w:rsidRDefault="005F2B61">
      <w:pPr>
        <w:jc w:val="both"/>
      </w:pPr>
    </w:p>
    <w:p w:rsidR="005F2B61" w:rsidRDefault="00971762">
      <w:pPr>
        <w:jc w:val="both"/>
        <w:rPr>
          <w:sz w:val="24"/>
          <w:szCs w:val="24"/>
        </w:rPr>
      </w:pPr>
      <w:r>
        <w:rPr>
          <w:sz w:val="24"/>
          <w:szCs w:val="24"/>
        </w:rPr>
        <w:t>Wykorzystywanym obecnie systemem przez Zakład Poprawczy w Trzemesznie stwierdzić należy, że jakość prezentowanego obrazu jest niezadawalająca, na co składają się:</w:t>
      </w:r>
    </w:p>
    <w:p w:rsidR="005F2B61" w:rsidRDefault="005F2B61">
      <w:pPr>
        <w:jc w:val="both"/>
        <w:rPr>
          <w:sz w:val="24"/>
          <w:szCs w:val="24"/>
        </w:rPr>
      </w:pPr>
    </w:p>
    <w:p w:rsidR="005F2B61" w:rsidRDefault="00971762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kamery analogowe o stosunkowo niewielkiej rozdzielczości i jakości obrazu,</w:t>
      </w:r>
    </w:p>
    <w:p w:rsidR="005F2B61" w:rsidRDefault="00971762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zakłócenia obrazu powstające przez starą infrastrukturę okablowania,</w:t>
      </w:r>
    </w:p>
    <w:p w:rsidR="005F2B61" w:rsidRDefault="00971762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niepełne oświetlenie obszaru nocą, przez zbyt słabe oświetlacze IR kamer,</w:t>
      </w:r>
    </w:p>
    <w:p w:rsidR="005F2B61" w:rsidRDefault="00971762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wiek używanych urządzeń, przez co musimy się liczyć z dużą ilością awarii,</w:t>
      </w:r>
      <w:r w:rsidR="00D93B62">
        <w:rPr>
          <w:sz w:val="24"/>
          <w:szCs w:val="24"/>
        </w:rPr>
        <w:t xml:space="preserve"> </w:t>
      </w:r>
      <w:r>
        <w:rPr>
          <w:sz w:val="24"/>
          <w:szCs w:val="24"/>
        </w:rPr>
        <w:t>które generują duże koszty naprawy,</w:t>
      </w:r>
    </w:p>
    <w:p w:rsidR="005F2B61" w:rsidRDefault="00971762">
      <w:pPr>
        <w:pStyle w:val="Akapitzlist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niska jakość obrazu, która znacznie odbiega od obecnych możliwości technicznych oraz znacząco zmniejsza ich użyteczność </w:t>
      </w:r>
    </w:p>
    <w:p w:rsidR="005F2B61" w:rsidRDefault="005F2B61">
      <w:pPr>
        <w:jc w:val="both"/>
        <w:rPr>
          <w:sz w:val="24"/>
          <w:szCs w:val="24"/>
        </w:rPr>
      </w:pPr>
    </w:p>
    <w:p w:rsidR="005F2B61" w:rsidRDefault="005F2B61">
      <w:pPr>
        <w:jc w:val="both"/>
        <w:rPr>
          <w:sz w:val="24"/>
          <w:szCs w:val="24"/>
        </w:rPr>
      </w:pPr>
    </w:p>
    <w:p w:rsidR="005F2B61" w:rsidRDefault="00971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Obecne systemy CCTV , które istnieją na rynku zapewniają  o wiele większą rozdzielczość i jakość obrazu, czym umożliwić mogą  dużo lepszy nadzór nad wychowankami oraz usprawnią pracę całemu personelowi zakładu. Biorąc pod uwagę potrzeby i plany na rozbudowanie innych systemów na terenie zakładu proponujemy modernizację systemu CCTV w standardzie IP, gdzie dzięki takim kamerom otrzymamy obraz o rozdzielczości min. </w:t>
      </w:r>
      <w:proofErr w:type="spellStart"/>
      <w:r>
        <w:rPr>
          <w:sz w:val="24"/>
          <w:szCs w:val="24"/>
        </w:rPr>
        <w:t>Full</w:t>
      </w:r>
      <w:proofErr w:type="spellEnd"/>
      <w:r>
        <w:rPr>
          <w:sz w:val="24"/>
          <w:szCs w:val="24"/>
        </w:rPr>
        <w:t xml:space="preserve"> HD (1980x1080px) co poprawi jakość obrazu oraz pozwoli m.in. na wychwytywanie mało widocznych szczegółów. Nowe, mocne oświetlacze pozwolą na bardziej zaawansowaną obserwacje nocą. Zwiększenie liczby kamer oraz zastosowanie nowych, z obiektywami o szerokim polu widzenia (2.8 mm) i kamer typu PTZ,</w:t>
      </w:r>
      <w:r w:rsidR="00D93B62">
        <w:rPr>
          <w:sz w:val="24"/>
          <w:szCs w:val="24"/>
        </w:rPr>
        <w:t xml:space="preserve"> </w:t>
      </w:r>
      <w:r>
        <w:rPr>
          <w:sz w:val="24"/>
          <w:szCs w:val="24"/>
        </w:rPr>
        <w:t>pozwoli na częściową eliminację wad np.</w:t>
      </w:r>
      <w:r w:rsidR="00D93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martwych obszarów, czy obserwację wybranych punktów z dużej odległości. Do modernizacji systemu proponujemy zastosować kamery firmy BCS </w:t>
      </w:r>
      <w:r w:rsidR="00822784">
        <w:rPr>
          <w:sz w:val="24"/>
          <w:szCs w:val="24"/>
        </w:rPr>
        <w:br/>
      </w:r>
      <w:r>
        <w:rPr>
          <w:sz w:val="24"/>
          <w:szCs w:val="24"/>
        </w:rPr>
        <w:t xml:space="preserve">i oprogramowanie do rejestracji i zarządzania firmy </w:t>
      </w:r>
      <w:proofErr w:type="spellStart"/>
      <w:r>
        <w:rPr>
          <w:sz w:val="24"/>
          <w:szCs w:val="24"/>
        </w:rPr>
        <w:t>Alnet</w:t>
      </w:r>
      <w:proofErr w:type="spellEnd"/>
      <w:r>
        <w:rPr>
          <w:sz w:val="24"/>
          <w:szCs w:val="24"/>
        </w:rPr>
        <w:t xml:space="preserve"> lub równoważne, które pozwolą na konfigurację systemu pod potrzeby Zakładu Poprawczego </w:t>
      </w:r>
      <w:r w:rsidR="00822784">
        <w:rPr>
          <w:sz w:val="24"/>
          <w:szCs w:val="24"/>
        </w:rPr>
        <w:br/>
      </w:r>
      <w:r>
        <w:rPr>
          <w:sz w:val="24"/>
          <w:szCs w:val="24"/>
        </w:rPr>
        <w:t xml:space="preserve">w Trzemesznie, jak również ułatwią przyszłościową modernizację i integrację </w:t>
      </w:r>
      <w:r w:rsidR="00822784"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 różnymi systemami znajdującymi się w obiekcie. Proponowany system dodatkowo wymaga wymiany istniejącego okablowania na okablowanie stosowane w sieciach komputerowych typu „skrętka”. W stosunku do poprzedniego systemu działania te mają na celu zwiększenie bezpieczeństwa oraz zapewnić ochronę pracownikom jak </w:t>
      </w:r>
      <w:r w:rsidR="00822784">
        <w:rPr>
          <w:sz w:val="24"/>
          <w:szCs w:val="24"/>
        </w:rPr>
        <w:br/>
      </w:r>
      <w:r>
        <w:rPr>
          <w:sz w:val="24"/>
          <w:szCs w:val="24"/>
        </w:rPr>
        <w:t>i wychowankom przed niespodziewanymi sytuacjami.</w:t>
      </w:r>
    </w:p>
    <w:p w:rsidR="005F2B61" w:rsidRDefault="005F2B61">
      <w:pPr>
        <w:jc w:val="both"/>
        <w:rPr>
          <w:b/>
          <w:sz w:val="28"/>
          <w:szCs w:val="28"/>
        </w:rPr>
      </w:pPr>
    </w:p>
    <w:p w:rsidR="005F2B61" w:rsidRDefault="00971762">
      <w:pPr>
        <w:pStyle w:val="Akapitzlist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Architektura modernizowanego systemu</w:t>
      </w:r>
    </w:p>
    <w:p w:rsidR="005F2B61" w:rsidRDefault="005F2B61">
      <w:pPr>
        <w:jc w:val="both"/>
      </w:pPr>
    </w:p>
    <w:p w:rsidR="005F2B61" w:rsidRDefault="00971762">
      <w:pPr>
        <w:jc w:val="both"/>
      </w:pPr>
      <w:r>
        <w:t>System CCTV po modernizacji będzie nadal działał w strukturze gwiazdy, z rejestracją obrazu w serwerowni. Modernizacja systemu polega na zamianie wszystkich kamer analogowych na kamery IP, wymianie starych rejestratorów na serwer z oprogramowaniem do rejestracji obrazu.</w:t>
      </w:r>
      <w:r w:rsidR="00D93B62">
        <w:t xml:space="preserve"> </w:t>
      </w:r>
      <w:r>
        <w:t xml:space="preserve">Lokalizacja kamer nie ulegnie zmianie w większym stopniu (dopuszcza się przesunięcia w celu poprawy widoczności), serwery staną w miejscu starych rejestratorów. </w:t>
      </w:r>
      <w:proofErr w:type="spellStart"/>
      <w:r>
        <w:t>Switche</w:t>
      </w:r>
      <w:proofErr w:type="spellEnd"/>
      <w:r>
        <w:t xml:space="preserve"> będą montowane w miejscach gdzie znajdowały się zasilacze do kamer analogowych. Proponowany system, ma w przyszłości być gotowy do rozbudowy, ponieważ umożliwić ma  to zastosowany sprzęt oraz oprogramowanie.</w:t>
      </w:r>
    </w:p>
    <w:p w:rsidR="005F2B61" w:rsidRDefault="00971762">
      <w:pPr>
        <w:jc w:val="both"/>
      </w:pPr>
      <w:r>
        <w:t>Przewody koncentryczne wykorzystywane do starego systemu muszą zostać zdemontowane, a w ich miejsce wprowadzone nowe typu „skrętka”.</w:t>
      </w:r>
    </w:p>
    <w:p w:rsidR="005F2B61" w:rsidRDefault="005F2B61">
      <w:pPr>
        <w:jc w:val="both"/>
      </w:pPr>
    </w:p>
    <w:p w:rsidR="005F2B61" w:rsidRDefault="00971762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Minimalne parametry techniczne:</w:t>
      </w:r>
    </w:p>
    <w:p w:rsidR="005F2B61" w:rsidRDefault="005F2B61">
      <w:pPr>
        <w:pStyle w:val="Akapitzlist"/>
        <w:jc w:val="both"/>
        <w:rPr>
          <w:b/>
          <w:bCs/>
          <w:sz w:val="28"/>
          <w:szCs w:val="28"/>
        </w:rPr>
      </w:pPr>
    </w:p>
    <w:tbl>
      <w:tblPr>
        <w:tblW w:w="10185" w:type="dxa"/>
        <w:tblInd w:w="-449" w:type="dxa"/>
        <w:tblLook w:val="04A0"/>
      </w:tblPr>
      <w:tblGrid>
        <w:gridCol w:w="546"/>
        <w:gridCol w:w="2088"/>
        <w:gridCol w:w="4974"/>
        <w:gridCol w:w="2577"/>
      </w:tblGrid>
      <w:tr w:rsidR="005F2B61" w:rsidTr="00D51094">
        <w:trPr>
          <w:trHeight w:val="553"/>
        </w:trPr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before="240" w:line="240" w:lineRule="auto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before="240" w:line="240" w:lineRule="auto"/>
              <w:jc w:val="center"/>
            </w:pPr>
            <w:r>
              <w:rPr>
                <w:b/>
              </w:rPr>
              <w:t>Rodzaj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before="240" w:line="240" w:lineRule="auto"/>
              <w:jc w:val="center"/>
            </w:pPr>
            <w:r>
              <w:rPr>
                <w:b/>
              </w:rPr>
              <w:t>Minimalne parametry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before="240" w:line="240" w:lineRule="auto"/>
              <w:jc w:val="center"/>
            </w:pPr>
            <w:r>
              <w:rPr>
                <w:b/>
              </w:rPr>
              <w:t>Ilość (szt./m)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 xml:space="preserve">Kamery </w:t>
            </w:r>
            <w:proofErr w:type="spellStart"/>
            <w:r>
              <w:t>stałoogniskowe</w:t>
            </w:r>
            <w:proofErr w:type="spellEnd"/>
            <w:r>
              <w:t xml:space="preserve"> 2Mpx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 xml:space="preserve">Przetwornik: 1/2.8” 2Mpx; Rozdzielczość: 1920 x 1080  - 1080p; Interfejs: Ethernet 10/100 </w:t>
            </w:r>
            <w:proofErr w:type="spellStart"/>
            <w:r>
              <w:t>PoE</w:t>
            </w:r>
            <w:proofErr w:type="spellEnd"/>
            <w:r>
              <w:t xml:space="preserve"> 802.3af; Zasilanie DC12V, </w:t>
            </w:r>
            <w:proofErr w:type="spellStart"/>
            <w:r>
              <w:t>PoE</w:t>
            </w:r>
            <w:proofErr w:type="spellEnd"/>
            <w:r>
              <w:t xml:space="preserve"> 802.3af; Kompresja: H.265 / H.264 / MJPEG; Zasięg promiennika IR - 30m; czułość: 0.08lux/F2.0; Ogniskowa obiektywu: 2.8mm; Funkcje: AWB, AGC, WDR, 3DNR, BLC, HLC; wsparcie technologii ONVIF; Klasa szczelności IP67, Obudowa typu kopuła;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95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 xml:space="preserve">Kamery </w:t>
            </w:r>
            <w:proofErr w:type="spellStart"/>
            <w:r>
              <w:t>stałoogniskowe</w:t>
            </w:r>
            <w:proofErr w:type="spellEnd"/>
            <w:r>
              <w:t xml:space="preserve"> 4Mpx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 xml:space="preserve">Przetwornik: 1/3” 4.0Mpx; Rozdzielczość: 2688×1520; Ogniskowa obiektywu: 2.8mm; Zasięg promiennika IR: do 30 metrów; Funkcje: AWB, AGC, BLC, HLC, WDR, 3DNR; Mechaniczny filtr podczerwieni ICR; Funkcja Dzień/Noc; Klasa szczelności: IP67; Zasilanie: DC12V, </w:t>
            </w:r>
            <w:proofErr w:type="spellStart"/>
            <w:r>
              <w:t>PoE</w:t>
            </w:r>
            <w:proofErr w:type="spellEnd"/>
            <w:r>
              <w:t xml:space="preserve">;  Interfejs: Ethernet 10/100 </w:t>
            </w:r>
            <w:proofErr w:type="spellStart"/>
            <w:r>
              <w:t>PoE</w:t>
            </w:r>
            <w:proofErr w:type="spellEnd"/>
            <w:r>
              <w:t xml:space="preserve"> 802.3af; wsparcie technologii ONVIF; Obudowa typu tuba;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6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 xml:space="preserve">Kamery </w:t>
            </w:r>
            <w:proofErr w:type="spellStart"/>
            <w:r>
              <w:t>zmiennoogniskowe</w:t>
            </w:r>
            <w:proofErr w:type="spellEnd"/>
            <w:r>
              <w:t xml:space="preserve"> 2Mpx szybkoobrotowa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 xml:space="preserve">Przetwornik: 1/2.8” 2.0 </w:t>
            </w:r>
            <w:proofErr w:type="spellStart"/>
            <w:r>
              <w:t>Mpx;v</w:t>
            </w:r>
            <w:proofErr w:type="spellEnd"/>
            <w:r w:rsidR="00D93B62">
              <w:t xml:space="preserve"> </w:t>
            </w:r>
            <w:r>
              <w:t xml:space="preserve">Rozdzielczość: 1920x1080, Ogniskowa obiektywu: 4.8mm ~ 120mm; Zoom optyczny: 25x; Zasięg promiennik IR: do 200m; Funkcje: WDR, Ultra DNR, AGC, ICR, HLC, ROI, </w:t>
            </w:r>
            <w:proofErr w:type="spellStart"/>
            <w:r>
              <w:t>Defog</w:t>
            </w:r>
            <w:proofErr w:type="spellEnd"/>
            <w:r>
              <w:t xml:space="preserve">, EIS, AWB, AES, Auto </w:t>
            </w:r>
            <w:proofErr w:type="spellStart"/>
            <w:r>
              <w:t>Tracking</w:t>
            </w:r>
            <w:proofErr w:type="spellEnd"/>
            <w:r>
              <w:t xml:space="preserve">, wykrywanie twarzy, mapa ciepła; Klasa szczelności: IP67; Klasa </w:t>
            </w:r>
            <w:proofErr w:type="spellStart"/>
            <w:r>
              <w:t>wandaloodporności</w:t>
            </w:r>
            <w:proofErr w:type="spellEnd"/>
            <w:r>
              <w:t xml:space="preserve">: IK10; Zasilanie: AC24V, </w:t>
            </w:r>
            <w:proofErr w:type="spellStart"/>
            <w:r>
              <w:t>PoE</w:t>
            </w:r>
            <w:proofErr w:type="spellEnd"/>
            <w:r>
              <w:t>(802.3at)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2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lastRenderedPageBreak/>
              <w:t>4.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proofErr w:type="spellStart"/>
            <w:r>
              <w:t>Switch</w:t>
            </w:r>
            <w:proofErr w:type="spellEnd"/>
            <w:r>
              <w:t xml:space="preserve"> 8-portowy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>Obsługa urządzeń o przepustowości 10Mb/s, 100 Mb/s oraz do 1Gb/s; Port LAN (typ) RJ45; Obsługiwane standardy: IEEE 802.3ab, IEEE 802.3u, IEEE 802.3x, IEEE 802.3i, IEEE 802.1p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1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proofErr w:type="spellStart"/>
            <w:r>
              <w:t>Switch</w:t>
            </w:r>
            <w:proofErr w:type="spellEnd"/>
            <w:r>
              <w:t xml:space="preserve"> POE 26 porty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 xml:space="preserve">24 porty </w:t>
            </w:r>
            <w:proofErr w:type="spellStart"/>
            <w:r>
              <w:t>PoE</w:t>
            </w:r>
            <w:proofErr w:type="spellEnd"/>
            <w:r>
              <w:t xml:space="preserve"> 10/100Mb/s - dane i zasilanie; 2 porty 10/100/1000 Mb/s - </w:t>
            </w:r>
            <w:proofErr w:type="spellStart"/>
            <w:r>
              <w:t>UpLink</w:t>
            </w:r>
            <w:proofErr w:type="spellEnd"/>
            <w:r>
              <w:t>; obsługa urządzeń zgodnych ze standardem IEEE802.3af/</w:t>
            </w:r>
            <w:proofErr w:type="spellStart"/>
            <w:r>
              <w:t>at</w:t>
            </w:r>
            <w:proofErr w:type="spellEnd"/>
            <w:r>
              <w:t xml:space="preserve">; obsługiwane protokoły i standardy: IEEE802.3, 802.3u, 802.3x, CSMA/CD, TCP/IP; obudowa w standardzie </w:t>
            </w:r>
            <w:proofErr w:type="spellStart"/>
            <w:r>
              <w:t>Rack</w:t>
            </w:r>
            <w:proofErr w:type="spellEnd"/>
            <w:r>
              <w:t xml:space="preserve"> 19”, Sygnalizacja pracy: zasilanie </w:t>
            </w:r>
            <w:proofErr w:type="spellStart"/>
            <w:r>
              <w:t>switch'a</w:t>
            </w:r>
            <w:proofErr w:type="spellEnd"/>
            <w:r>
              <w:t xml:space="preserve">, Link, </w:t>
            </w:r>
            <w:proofErr w:type="spellStart"/>
            <w:r>
              <w:t>PoE</w:t>
            </w:r>
            <w:proofErr w:type="spellEnd"/>
            <w:r>
              <w:t xml:space="preserve"> Status;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2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proofErr w:type="spellStart"/>
            <w:r>
              <w:t>Switch</w:t>
            </w:r>
            <w:proofErr w:type="spellEnd"/>
            <w:r>
              <w:t xml:space="preserve"> POE 18 port z zasilaczem buforowym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 xml:space="preserve">18 portów </w:t>
            </w:r>
            <w:proofErr w:type="spellStart"/>
            <w:r>
              <w:t>PoE</w:t>
            </w:r>
            <w:proofErr w:type="spellEnd"/>
            <w:r>
              <w:t xml:space="preserve"> 10/100Mb/s - dane i zasilanie; 2 porty 10/100/1000 Mb/s - </w:t>
            </w:r>
            <w:proofErr w:type="spellStart"/>
            <w:r>
              <w:t>UpLink</w:t>
            </w:r>
            <w:proofErr w:type="spellEnd"/>
            <w:r>
              <w:t>; obsługa urządzeń zgodnych ze standardem IEEE802.3af/</w:t>
            </w:r>
            <w:proofErr w:type="spellStart"/>
            <w:r>
              <w:t>at</w:t>
            </w:r>
            <w:proofErr w:type="spellEnd"/>
            <w:r>
              <w:t xml:space="preserve">; obsługiwane protokoły i standardy: IEEE802.3, 802.3u, 802.3x, CSMA/CD, TCP/IP; w zestawie obudowa na akumulatory 4 x 7Ah/12V, Sygnalizacja pracy: zasilanie </w:t>
            </w:r>
            <w:proofErr w:type="spellStart"/>
            <w:r>
              <w:t>switch'a</w:t>
            </w:r>
            <w:proofErr w:type="spellEnd"/>
            <w:r>
              <w:t xml:space="preserve">, Link, </w:t>
            </w:r>
            <w:proofErr w:type="spellStart"/>
            <w:r>
              <w:t>PoE</w:t>
            </w:r>
            <w:proofErr w:type="spellEnd"/>
            <w:r>
              <w:t xml:space="preserve"> Status;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4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proofErr w:type="spellStart"/>
            <w:r>
              <w:t>Switch</w:t>
            </w:r>
            <w:proofErr w:type="spellEnd"/>
            <w:r>
              <w:t xml:space="preserve"> POE 10 port z zasilaczem buforowym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 xml:space="preserve">8 portów </w:t>
            </w:r>
            <w:proofErr w:type="spellStart"/>
            <w:r>
              <w:t>PoE</w:t>
            </w:r>
            <w:proofErr w:type="spellEnd"/>
            <w:r>
              <w:t xml:space="preserve"> 10/100Mb/s - dane i zasilanie; 2 porty 10/100/1000 Mb/s - </w:t>
            </w:r>
            <w:proofErr w:type="spellStart"/>
            <w:r>
              <w:t>UpLink</w:t>
            </w:r>
            <w:proofErr w:type="spellEnd"/>
            <w:r>
              <w:t>; obsługa urządzeń zgodnych ze standardem IEEE802.3af/</w:t>
            </w:r>
            <w:proofErr w:type="spellStart"/>
            <w:r>
              <w:t>at</w:t>
            </w:r>
            <w:proofErr w:type="spellEnd"/>
            <w:r>
              <w:t xml:space="preserve">; obsługiwane protokoły i standardy: IEEE802.3, 802.3u, 802.3x, CSMA/CD, TCP/IP; w zestawie obudowa na akumulatory 2 x 17Ah/12V, Sygnalizacja pracy: zasilanie </w:t>
            </w:r>
            <w:proofErr w:type="spellStart"/>
            <w:r>
              <w:t>switch'a</w:t>
            </w:r>
            <w:proofErr w:type="spellEnd"/>
            <w:r>
              <w:t xml:space="preserve">, Link, </w:t>
            </w:r>
            <w:proofErr w:type="spellStart"/>
            <w:r>
              <w:t>PoE</w:t>
            </w:r>
            <w:proofErr w:type="spellEnd"/>
            <w:r>
              <w:t xml:space="preserve"> Status;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2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proofErr w:type="spellStart"/>
            <w:r>
              <w:t>Switch</w:t>
            </w:r>
            <w:proofErr w:type="spellEnd"/>
            <w:r>
              <w:t xml:space="preserve"> POE 6 port z zasilaczem buforowym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 xml:space="preserve">4 porty </w:t>
            </w:r>
            <w:proofErr w:type="spellStart"/>
            <w:r>
              <w:t>PoE</w:t>
            </w:r>
            <w:proofErr w:type="spellEnd"/>
            <w:r>
              <w:t xml:space="preserve"> 10/100Mb/s - dane i zasilanie; 2 porty 10/100/1000 Mb/s - </w:t>
            </w:r>
            <w:proofErr w:type="spellStart"/>
            <w:r>
              <w:t>UpLink</w:t>
            </w:r>
            <w:proofErr w:type="spellEnd"/>
            <w:r>
              <w:t>; obsługa urządzeń zgodnych ze standardem IEEE802.3af/</w:t>
            </w:r>
            <w:proofErr w:type="spellStart"/>
            <w:r>
              <w:t>at</w:t>
            </w:r>
            <w:proofErr w:type="spellEnd"/>
            <w:r>
              <w:t xml:space="preserve">; obsługiwane protokoły i standardy: IEEE802.3, 802.3u, 802.3x, CSMA/CD, TCP/IP; w zestawie obudowa na akumulator 7Ah/12V, Sygnalizacja pracy: zasilanie </w:t>
            </w:r>
            <w:proofErr w:type="spellStart"/>
            <w:r>
              <w:t>switch'a</w:t>
            </w:r>
            <w:proofErr w:type="spellEnd"/>
            <w:r>
              <w:t xml:space="preserve">, Link, </w:t>
            </w:r>
            <w:proofErr w:type="spellStart"/>
            <w:r>
              <w:t>PoE</w:t>
            </w:r>
            <w:proofErr w:type="spellEnd"/>
            <w:r>
              <w:t xml:space="preserve"> Status;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2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>Zasilacz awaryjny - UPS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 xml:space="preserve">Zasilacz typu </w:t>
            </w:r>
            <w:proofErr w:type="spellStart"/>
            <w:r>
              <w:t>line-interactive</w:t>
            </w:r>
            <w:proofErr w:type="spellEnd"/>
            <w:r>
              <w:t>; Moc: 1500VA / 900W; Akumulator AGM 2 x 9Ah; Dwa gniazda zasilania; Przycisk ON/OFF; Wyświetlacz LCD;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2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>Akumulator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>Żelowy; Napięcie: 12V; Pojemność: 17Ah; Typ zacisków - wsuwane;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18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>Akumulator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>Żelowy; Napięcie: 12V; Pojemność: 7Ah; Typ zacisków - wsuwane;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2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>Adapter słupowy do puszki instalacyjnej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>Dopasowany do puszki instalacyjnej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2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>Puszka instalacyjna  do kamery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>Dopasowana do modelu kamery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8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>Jednostka serwerowa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 xml:space="preserve">Procesor i7 min. 9 generacji 3,6GHz; RAM 16GB 3200Mhz; Płyta główna 2 x </w:t>
            </w:r>
            <w:proofErr w:type="spellStart"/>
            <w:r>
              <w:t>ethernet</w:t>
            </w:r>
            <w:proofErr w:type="spellEnd"/>
            <w:r>
              <w:t>, 6 złączy SATA III, taktowanie zegara pamięci 3200Mhz; Dysk systemowy 1TB; Zasilacz 750W; obudowa typu RACK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5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>Dysk twardy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 xml:space="preserve">Rozmiar: 3,5"; Pojemność: 6000 GB; Szybkość: </w:t>
            </w:r>
            <w:r>
              <w:lastRenderedPageBreak/>
              <w:t>5400 RPM; Bufor dysku: 64 MB, Przeznaczenie: do systemów CCTV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lastRenderedPageBreak/>
              <w:t>26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lastRenderedPageBreak/>
              <w:t>16.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Oprogramowanie do rejestracji obrazu</w:t>
            </w:r>
          </w:p>
          <w:p w:rsidR="005F2B61" w:rsidRDefault="005F2B61">
            <w:pPr>
              <w:spacing w:line="240" w:lineRule="auto"/>
            </w:pP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 xml:space="preserve">Rejestracja obrazu ze 114 kamer IP, </w:t>
            </w:r>
            <w:proofErr w:type="spellStart"/>
            <w:r>
              <w:t>Indywidulana</w:t>
            </w:r>
            <w:proofErr w:type="spellEnd"/>
            <w:r>
              <w:t xml:space="preserve"> konfiguracja każdego kanału; Podstawowa archiwizacja danych na 60 dni oraz na wybranych kamerach 90 dni; Funkcje ochrony transmisji i kontroli dostępu do materiału video spełniające wytyczne RODO; Funkcja szybkiego przeglądu nagrań archiwalnych lokalnie oraz zdalnie; Podstawowa analityka (śledzenie obiektów, wykrywanie sabotażu kamery, detekcja pojawiających się i znikających obiektów, klasyfikacja obiektów, liczenie obiektów, informacja o przekroczonej linii); Oprogramowanie musi posiadać: harmonogram zadań, wielopoziomowe zarządzanie kontami, obsługa wielostrumieniowa, zoom cyfrowy, możliwość integracji z systemami </w:t>
            </w:r>
            <w:proofErr w:type="spellStart"/>
            <w:r>
              <w:t>SSWiN</w:t>
            </w:r>
            <w:proofErr w:type="spellEnd"/>
            <w:r>
              <w:t>/SKD/SAP;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5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>Przewód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>U/UTP, kat.5E, 4x2x0,5 - drut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2660</w:t>
            </w:r>
          </w:p>
        </w:tc>
      </w:tr>
      <w:tr w:rsidR="005F2B61" w:rsidTr="00D51094">
        <w:tc>
          <w:tcPr>
            <w:tcW w:w="546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2088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>Przewód</w:t>
            </w:r>
          </w:p>
        </w:tc>
        <w:tc>
          <w:tcPr>
            <w:tcW w:w="4974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</w:pPr>
            <w:r>
              <w:t xml:space="preserve">Przewód instalacyjny </w:t>
            </w:r>
            <w:proofErr w:type="spellStart"/>
            <w:r>
              <w:t>YDY-ŻO</w:t>
            </w:r>
            <w:proofErr w:type="spellEnd"/>
            <w:r>
              <w:t xml:space="preserve"> 3x2,5 750V</w:t>
            </w:r>
          </w:p>
        </w:tc>
        <w:tc>
          <w:tcPr>
            <w:tcW w:w="2577" w:type="dxa"/>
            <w:shd w:val="clear" w:color="auto" w:fill="auto"/>
            <w:tcMar>
              <w:left w:w="108" w:type="dxa"/>
            </w:tcMar>
          </w:tcPr>
          <w:p w:rsidR="005F2B61" w:rsidRDefault="00971762">
            <w:pPr>
              <w:spacing w:line="240" w:lineRule="auto"/>
              <w:jc w:val="center"/>
            </w:pPr>
            <w:r>
              <w:t>100</w:t>
            </w:r>
          </w:p>
        </w:tc>
      </w:tr>
    </w:tbl>
    <w:p w:rsidR="005F2B61" w:rsidRDefault="005F2B61">
      <w:pPr>
        <w:jc w:val="both"/>
      </w:pPr>
    </w:p>
    <w:p w:rsidR="005F2B61" w:rsidRDefault="005F2B61">
      <w:pPr>
        <w:pStyle w:val="Akapitzlist"/>
        <w:jc w:val="both"/>
      </w:pPr>
    </w:p>
    <w:p w:rsidR="005F2B61" w:rsidRDefault="005F2B61">
      <w:pPr>
        <w:pStyle w:val="Akapitzlist"/>
        <w:jc w:val="both"/>
      </w:pPr>
    </w:p>
    <w:p w:rsidR="005F2B61" w:rsidRDefault="005F2B61">
      <w:pPr>
        <w:pStyle w:val="Akapitzlist"/>
        <w:jc w:val="both"/>
      </w:pPr>
    </w:p>
    <w:p w:rsidR="005F2B61" w:rsidRDefault="00971762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Rozbudowa </w:t>
      </w:r>
    </w:p>
    <w:p w:rsidR="005F2B61" w:rsidRDefault="005F2B61">
      <w:pPr>
        <w:jc w:val="both"/>
      </w:pPr>
    </w:p>
    <w:p w:rsidR="00E73543" w:rsidRDefault="00971762">
      <w:pPr>
        <w:jc w:val="both"/>
      </w:pPr>
      <w:r>
        <w:t xml:space="preserve">Nowy system CCTV będzie rozbudowany o dwie kamery na poziomie piwnicy </w:t>
      </w:r>
      <w:r w:rsidR="00822784">
        <w:br/>
      </w:r>
      <w:r>
        <w:t xml:space="preserve">w pomieszczeniach “magazyn i koło muzyczne” oraz dodatkowo zostaną </w:t>
      </w:r>
      <w:r w:rsidR="00D93B62">
        <w:t>zainstalowane dwie kamery na placu rekreacyjnym</w:t>
      </w:r>
      <w:r>
        <w:t>. Kamera typu PTZ umiejscowiona na ścianie budynku hali sportowej zostan</w:t>
      </w:r>
      <w:r w:rsidR="004B0F0A">
        <w:t>ie zastąpiona kamerą stało</w:t>
      </w:r>
      <w:r>
        <w:t xml:space="preserve">ogniskową. </w:t>
      </w:r>
    </w:p>
    <w:p w:rsidR="00C467A8" w:rsidRDefault="00971762">
      <w:pPr>
        <w:jc w:val="both"/>
      </w:pPr>
      <w:r>
        <w:t>Zasi</w:t>
      </w:r>
      <w:r w:rsidR="00C467A8">
        <w:t xml:space="preserve">lanie awaryjne dla </w:t>
      </w:r>
      <w:proofErr w:type="spellStart"/>
      <w:r w:rsidR="00C467A8">
        <w:t>switcha</w:t>
      </w:r>
      <w:proofErr w:type="spellEnd"/>
      <w:r w:rsidR="00C467A8">
        <w:t xml:space="preserve"> </w:t>
      </w:r>
      <w:r>
        <w:t>26-portow</w:t>
      </w:r>
      <w:r w:rsidR="00E73543">
        <w:t>ego zlokalizowanego na piętrze w świetlicy grupy drugiej</w:t>
      </w:r>
      <w:r>
        <w:t xml:space="preserve">, </w:t>
      </w:r>
      <w:r w:rsidR="00E73543">
        <w:t xml:space="preserve">należy zamontować </w:t>
      </w:r>
      <w:r w:rsidR="00D93B62">
        <w:t xml:space="preserve">w pokoju </w:t>
      </w:r>
      <w:r w:rsidR="00E73543">
        <w:t>służby nocnej</w:t>
      </w:r>
      <w:r>
        <w:t xml:space="preserve">. </w:t>
      </w:r>
    </w:p>
    <w:p w:rsidR="00C467A8" w:rsidRDefault="00971762">
      <w:pPr>
        <w:jc w:val="both"/>
      </w:pPr>
      <w:r>
        <w:t xml:space="preserve">Zasilanie awaryjne dla drugiego </w:t>
      </w:r>
      <w:proofErr w:type="spellStart"/>
      <w:r>
        <w:t>switcha</w:t>
      </w:r>
      <w:proofErr w:type="spellEnd"/>
      <w:r>
        <w:t xml:space="preserve"> 26-portowego znajdującego się w pomieszczeniu kierownika warsztatu, należy zamontować w tym samym pomieszczen</w:t>
      </w:r>
      <w:r w:rsidR="00D93B62">
        <w:t>iu, zabezpieczając je przed nie</w:t>
      </w:r>
      <w:r>
        <w:t xml:space="preserve">uprawnionym dostępem. </w:t>
      </w:r>
    </w:p>
    <w:p w:rsidR="005F2B61" w:rsidRDefault="00971762">
      <w:pPr>
        <w:jc w:val="both"/>
      </w:pPr>
      <w:r>
        <w:t xml:space="preserve">Przewody w pomieszczeniach należy układać między sufitem stałym a podwieszanym, </w:t>
      </w:r>
      <w:r w:rsidR="00822784">
        <w:br/>
      </w:r>
      <w:r>
        <w:t xml:space="preserve">w miejscach gdzie nie będzie takiej możliwości, należy zastosować listwę kablową </w:t>
      </w:r>
      <w:r w:rsidR="00822784">
        <w:br/>
      </w:r>
      <w:r>
        <w:t xml:space="preserve">o wymiarach 40x40 </w:t>
      </w:r>
      <w:proofErr w:type="spellStart"/>
      <w:r>
        <w:t>mm</w:t>
      </w:r>
      <w:proofErr w:type="spellEnd"/>
      <w:r>
        <w:t>.</w:t>
      </w:r>
      <w:r w:rsidR="00D93B62">
        <w:t xml:space="preserve"> </w:t>
      </w:r>
      <w:r>
        <w:t xml:space="preserve">W przypadku wystąpienia utrudnień z wymianą okablowania, dopuszcza się zastosowania rewizji o wymiarach 300x300mm w suficie podwieszanym. Zabrania się stosowania rewizji w pokojach wychowanków. Przewody układane na dachach należy umieścić w rurze karbowanej o odporności UV.W celu zwiększenia ochrony układanych przewodów na dachu, można zastosować koryta metalowe. W związku </w:t>
      </w:r>
      <w:r w:rsidR="00822784">
        <w:br/>
      </w:r>
      <w:r>
        <w:t>z przeprowadzaną modernizacją zaleca się stworzenie całkowicie niezależnej sieci okablowania strukturalnego mającą na celu zapewnić stabilną pracę nowego systemu.</w:t>
      </w:r>
    </w:p>
    <w:p w:rsidR="005F2B61" w:rsidRDefault="005F2B61">
      <w:pPr>
        <w:jc w:val="both"/>
      </w:pPr>
    </w:p>
    <w:p w:rsidR="00D51094" w:rsidRDefault="00D51094">
      <w:pPr>
        <w:jc w:val="both"/>
      </w:pPr>
    </w:p>
    <w:p w:rsidR="00D51094" w:rsidRDefault="00D51094">
      <w:pPr>
        <w:jc w:val="both"/>
      </w:pPr>
    </w:p>
    <w:p w:rsidR="00D51094" w:rsidRDefault="00D51094">
      <w:pPr>
        <w:jc w:val="both"/>
      </w:pPr>
    </w:p>
    <w:p w:rsidR="00D51094" w:rsidRDefault="00D51094">
      <w:pPr>
        <w:jc w:val="both"/>
      </w:pPr>
    </w:p>
    <w:p w:rsidR="005F2B61" w:rsidRDefault="00971762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Korzyści z nowego systemu</w:t>
      </w:r>
    </w:p>
    <w:p w:rsidR="005F2B61" w:rsidRDefault="005F2B61">
      <w:pPr>
        <w:jc w:val="both"/>
      </w:pPr>
    </w:p>
    <w:p w:rsidR="005F2B61" w:rsidRDefault="00971762">
      <w:pPr>
        <w:pStyle w:val="Akapitzlist"/>
        <w:numPr>
          <w:ilvl w:val="0"/>
          <w:numId w:val="4"/>
        </w:numPr>
        <w:ind w:left="993"/>
        <w:jc w:val="both"/>
      </w:pPr>
      <w:r>
        <w:t>zwiększenie bezpieczeństwa poprzez uszczelnienie obserwacji otaczającego terenu i pomieszczeń w zakładzie,</w:t>
      </w:r>
    </w:p>
    <w:p w:rsidR="005F2B61" w:rsidRDefault="00971762">
      <w:pPr>
        <w:pStyle w:val="Akapitzlist"/>
        <w:numPr>
          <w:ilvl w:val="0"/>
          <w:numId w:val="4"/>
        </w:numPr>
        <w:ind w:left="993"/>
        <w:jc w:val="both"/>
      </w:pPr>
      <w:r>
        <w:t>zwiększenie popr</w:t>
      </w:r>
      <w:r w:rsidR="00C467A8">
        <w:t>awności</w:t>
      </w:r>
      <w:r>
        <w:t xml:space="preserve"> pracy systemu w nocy,</w:t>
      </w:r>
    </w:p>
    <w:p w:rsidR="005F2B61" w:rsidRDefault="00971762">
      <w:pPr>
        <w:pStyle w:val="Akapitzlist"/>
        <w:numPr>
          <w:ilvl w:val="0"/>
          <w:numId w:val="4"/>
        </w:numPr>
        <w:ind w:left="993"/>
        <w:jc w:val="both"/>
      </w:pPr>
      <w:r>
        <w:t xml:space="preserve">nagrywanie podczas zaniku napięcia dzięki zastosowaniu </w:t>
      </w:r>
      <w:proofErr w:type="spellStart"/>
      <w:r>
        <w:t>UPSów</w:t>
      </w:r>
      <w:proofErr w:type="spellEnd"/>
      <w:r>
        <w:t xml:space="preserve"> i zasilaczy buforowych z akumulatorami,</w:t>
      </w:r>
    </w:p>
    <w:p w:rsidR="005F2B61" w:rsidRDefault="00971762">
      <w:pPr>
        <w:pStyle w:val="Akapitzlist"/>
        <w:numPr>
          <w:ilvl w:val="0"/>
          <w:numId w:val="4"/>
        </w:numPr>
        <w:ind w:left="993"/>
        <w:jc w:val="both"/>
      </w:pPr>
      <w:r>
        <w:t>zwiększenie szczegółów nagrań i podglądu,</w:t>
      </w:r>
    </w:p>
    <w:p w:rsidR="005F2B61" w:rsidRDefault="00971762">
      <w:pPr>
        <w:pStyle w:val="Akapitzlist"/>
        <w:numPr>
          <w:ilvl w:val="0"/>
          <w:numId w:val="4"/>
        </w:numPr>
        <w:ind w:left="993"/>
        <w:jc w:val="both"/>
      </w:pPr>
      <w:r>
        <w:t>dłuższy czas nagrywania zdarzeń,</w:t>
      </w:r>
    </w:p>
    <w:p w:rsidR="005F2B61" w:rsidRDefault="00971762">
      <w:pPr>
        <w:pStyle w:val="Akapitzlist"/>
        <w:numPr>
          <w:ilvl w:val="0"/>
          <w:numId w:val="4"/>
        </w:numPr>
        <w:ind w:left="993"/>
        <w:jc w:val="both"/>
      </w:pPr>
      <w:r>
        <w:t>przywileje operatorów wynikające z ich ról,</w:t>
      </w:r>
    </w:p>
    <w:p w:rsidR="005F2B61" w:rsidRDefault="005F2B61"/>
    <w:p w:rsidR="005F2B61" w:rsidRDefault="005F2B61">
      <w:pPr>
        <w:ind w:left="993"/>
      </w:pPr>
    </w:p>
    <w:p w:rsidR="005F2B61" w:rsidRDefault="005F2B61"/>
    <w:p w:rsidR="005F2B61" w:rsidRDefault="00971762">
      <w:r>
        <w:t>I</w:t>
      </w:r>
      <w:r>
        <w:rPr>
          <w:b/>
        </w:rPr>
        <w:t xml:space="preserve">ntegralną częścią niniejszego opisu przedmiotu zamówienia stanowią szczegółowe rzuty rozmieszczeń kompleksowej infrastruktury monitoringu przedstawione na dwunastu rysunkach które pełnią rolę - pomocniczą- uzupełniającą do prawidłowego            i rzetelnego skalkulowania ceny ofertowej zamieszczonej przez dostawcę </w:t>
      </w:r>
      <w:r w:rsidR="009E672F">
        <w:rPr>
          <w:b/>
        </w:rPr>
        <w:br/>
      </w:r>
      <w:proofErr w:type="spellStart"/>
      <w:r w:rsidR="009E672F">
        <w:rPr>
          <w:b/>
        </w:rPr>
        <w:t>q</w:t>
      </w:r>
      <w:r>
        <w:rPr>
          <w:b/>
        </w:rPr>
        <w:t>w</w:t>
      </w:r>
      <w:proofErr w:type="spellEnd"/>
      <w:r>
        <w:rPr>
          <w:b/>
        </w:rPr>
        <w:t xml:space="preserve"> formularzu ofertowym ( załącznik nr 1 do SIWZ)</w:t>
      </w:r>
      <w:r>
        <w:rPr>
          <w:b/>
        </w:rPr>
        <w:br/>
      </w:r>
    </w:p>
    <w:sectPr w:rsidR="005F2B61" w:rsidSect="00C56A78">
      <w:footerReference w:type="default" r:id="rId7"/>
      <w:pgSz w:w="11906" w:h="16838"/>
      <w:pgMar w:top="1440" w:right="1440" w:bottom="1440" w:left="144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94" w:rsidRDefault="00D51094" w:rsidP="00D51094">
      <w:pPr>
        <w:spacing w:line="240" w:lineRule="auto"/>
      </w:pPr>
      <w:r>
        <w:separator/>
      </w:r>
    </w:p>
  </w:endnote>
  <w:endnote w:type="continuationSeparator" w:id="1">
    <w:p w:rsidR="00D51094" w:rsidRDefault="00D51094" w:rsidP="00D51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1207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51094" w:rsidRDefault="00D5109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7E9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7E99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1094" w:rsidRDefault="00D510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94" w:rsidRDefault="00D51094" w:rsidP="00D51094">
      <w:pPr>
        <w:spacing w:line="240" w:lineRule="auto"/>
      </w:pPr>
      <w:r>
        <w:separator/>
      </w:r>
    </w:p>
  </w:footnote>
  <w:footnote w:type="continuationSeparator" w:id="1">
    <w:p w:rsidR="00D51094" w:rsidRDefault="00D51094" w:rsidP="00D510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3FF"/>
    <w:multiLevelType w:val="multilevel"/>
    <w:tmpl w:val="72DAA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5ECD"/>
    <w:multiLevelType w:val="multilevel"/>
    <w:tmpl w:val="6D782E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0154"/>
    <w:multiLevelType w:val="multilevel"/>
    <w:tmpl w:val="40C89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B06B4"/>
    <w:multiLevelType w:val="multilevel"/>
    <w:tmpl w:val="B81CB9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792155A"/>
    <w:multiLevelType w:val="multilevel"/>
    <w:tmpl w:val="AC0CC7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B61"/>
    <w:rsid w:val="00037E99"/>
    <w:rsid w:val="004B0F0A"/>
    <w:rsid w:val="005F2B61"/>
    <w:rsid w:val="00822784"/>
    <w:rsid w:val="00863279"/>
    <w:rsid w:val="008E4BE2"/>
    <w:rsid w:val="00971762"/>
    <w:rsid w:val="009E672F"/>
    <w:rsid w:val="00C467A8"/>
    <w:rsid w:val="00C56A78"/>
    <w:rsid w:val="00D51094"/>
    <w:rsid w:val="00D93B62"/>
    <w:rsid w:val="00E73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7AE"/>
    <w:pPr>
      <w:spacing w:line="276" w:lineRule="auto"/>
    </w:pPr>
    <w:rPr>
      <w:color w:val="00000A"/>
      <w:sz w:val="22"/>
    </w:rPr>
  </w:style>
  <w:style w:type="paragraph" w:styleId="Nagwek1">
    <w:name w:val="heading 1"/>
    <w:basedOn w:val="Normalny"/>
    <w:qFormat/>
    <w:rsid w:val="005127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qFormat/>
    <w:rsid w:val="005127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qFormat/>
    <w:rsid w:val="005127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qFormat/>
    <w:rsid w:val="005127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/>
    <w:rsid w:val="005127A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qFormat/>
    <w:rsid w:val="005127A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56A78"/>
    <w:rPr>
      <w:rFonts w:eastAsia="Arial" w:cs="Arial"/>
    </w:rPr>
  </w:style>
  <w:style w:type="character" w:customStyle="1" w:styleId="ListLabel2">
    <w:name w:val="ListLabel 2"/>
    <w:qFormat/>
    <w:rsid w:val="00C56A78"/>
    <w:rPr>
      <w:rFonts w:cs="Arial"/>
    </w:rPr>
  </w:style>
  <w:style w:type="character" w:customStyle="1" w:styleId="ListLabel3">
    <w:name w:val="ListLabel 3"/>
    <w:qFormat/>
    <w:rsid w:val="00C56A78"/>
    <w:rPr>
      <w:rFonts w:cs="Arial"/>
    </w:rPr>
  </w:style>
  <w:style w:type="paragraph" w:styleId="Nagwek">
    <w:name w:val="header"/>
    <w:basedOn w:val="Normalny"/>
    <w:next w:val="Tekstpodstawowy"/>
    <w:qFormat/>
    <w:rsid w:val="00C56A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56A78"/>
    <w:pPr>
      <w:spacing w:after="140" w:line="288" w:lineRule="auto"/>
    </w:pPr>
  </w:style>
  <w:style w:type="paragraph" w:styleId="Lista">
    <w:name w:val="List"/>
    <w:basedOn w:val="Tekstpodstawowy"/>
    <w:rsid w:val="00C56A78"/>
  </w:style>
  <w:style w:type="paragraph" w:styleId="Legenda">
    <w:name w:val="caption"/>
    <w:basedOn w:val="Normalny"/>
    <w:qFormat/>
    <w:rsid w:val="00C56A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C56A78"/>
    <w:pPr>
      <w:suppressLineNumbers/>
    </w:pPr>
  </w:style>
  <w:style w:type="paragraph" w:styleId="Tytu">
    <w:name w:val="Title"/>
    <w:basedOn w:val="Normalny"/>
    <w:qFormat/>
    <w:rsid w:val="005127A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qFormat/>
    <w:rsid w:val="005127AE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A5037"/>
    <w:pPr>
      <w:ind w:left="720"/>
      <w:contextualSpacing/>
    </w:pPr>
  </w:style>
  <w:style w:type="table" w:customStyle="1" w:styleId="TableNormal">
    <w:name w:val="Table Normal"/>
    <w:rsid w:val="005127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510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094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brzostowska</cp:lastModifiedBy>
  <cp:revision>6</cp:revision>
  <cp:lastPrinted>2020-05-07T09:21:00Z</cp:lastPrinted>
  <dcterms:created xsi:type="dcterms:W3CDTF">2020-04-20T20:11:00Z</dcterms:created>
  <dcterms:modified xsi:type="dcterms:W3CDTF">2020-05-07T11:16:00Z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